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8E3293" w:rsidRPr="00577324" w:rsidRDefault="008E3293" w:rsidP="008E3293">
      <w:pPr>
        <w:spacing w:after="240" w:line="360" w:lineRule="auto"/>
        <w:outlineLvl w:val="0"/>
        <w:rPr>
          <w:rFonts w:ascii="Arial" w:hAnsi="Arial" w:cs="Arial"/>
        </w:rPr>
      </w:pPr>
      <w:r w:rsidRPr="00BA3E1D">
        <w:rPr>
          <w:rFonts w:cstheme="minorHAnsi"/>
          <w:b/>
          <w:color w:val="000000"/>
          <w:sz w:val="28"/>
          <w:szCs w:val="28"/>
        </w:rPr>
        <w:t>Transmissores de pressão diferencial – água</w:t>
      </w:r>
    </w:p>
    <w:p w:rsidR="008E3293" w:rsidRDefault="008E3293" w:rsidP="008E3293">
      <w:pPr>
        <w:tabs>
          <w:tab w:val="left" w:pos="9540"/>
        </w:tabs>
        <w:spacing w:line="360" w:lineRule="auto"/>
        <w:rPr>
          <w:rFonts w:ascii="Arial" w:hAnsi="Arial" w:cs="Arial"/>
        </w:rPr>
      </w:pPr>
      <w:r w:rsidRPr="00BA3E1D">
        <w:rPr>
          <w:rFonts w:cstheme="minorHAnsi"/>
          <w:b/>
          <w:sz w:val="24"/>
          <w:szCs w:val="24"/>
        </w:rPr>
        <w:t>Descrição</w:t>
      </w:r>
    </w:p>
    <w:p w:rsidR="008E3293" w:rsidRDefault="008E3293" w:rsidP="008E3293">
      <w:pPr>
        <w:spacing w:after="120" w:line="360" w:lineRule="auto"/>
        <w:jc w:val="both"/>
        <w:rPr>
          <w:rFonts w:ascii="Arial" w:hAnsi="Arial" w:cs="Arial"/>
          <w:b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Sensor e transmissor de pressão diferencial para água a instalar nos locais indicados nas peças desenhadas destinados à transmissão remota desta variável, a controladores compatíveis. Deverão ser próprios para a monitorização de componentes de equipamentos hidráulicos – tais como: filtros, válvulas, circuladores, </w:t>
      </w:r>
      <w:proofErr w:type="spellStart"/>
      <w:r w:rsidRPr="00BA3E1D">
        <w:rPr>
          <w:rFonts w:cstheme="minorHAnsi"/>
          <w:color w:val="595959" w:themeColor="text1" w:themeTint="A6"/>
          <w:sz w:val="18"/>
          <w:szCs w:val="18"/>
        </w:rPr>
        <w:t>chillers</w:t>
      </w:r>
      <w:proofErr w:type="spellEnd"/>
      <w:r w:rsidRPr="00BA3E1D">
        <w:rPr>
          <w:rFonts w:cstheme="minorHAnsi"/>
          <w:color w:val="595959" w:themeColor="text1" w:themeTint="A6"/>
          <w:sz w:val="18"/>
          <w:szCs w:val="18"/>
        </w:rPr>
        <w:t>, caldeiras – assim como o controlo da velocidade de rotação dos circuladores de modo a regular o caudal de água instantâneo às necessidades da instalação.</w:t>
      </w:r>
    </w:p>
    <w:p w:rsidR="008E3293" w:rsidRDefault="008E3293" w:rsidP="008E3293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</w:rPr>
      </w:pPr>
    </w:p>
    <w:p w:rsidR="008E3293" w:rsidRDefault="00E04C33" w:rsidP="008E3293">
      <w:pPr>
        <w:tabs>
          <w:tab w:val="left" w:pos="9540"/>
        </w:tabs>
        <w:spacing w:line="360" w:lineRule="auto"/>
        <w:rPr>
          <w:rFonts w:ascii="Arial" w:hAnsi="Arial" w:cs="Arial"/>
        </w:rPr>
      </w:pPr>
      <w:bookmarkStart w:id="0" w:name="_GoBack"/>
      <w:r>
        <w:rPr>
          <w:rFonts w:cstheme="minorHAnsi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4854667</wp:posOffset>
            </wp:positionH>
            <wp:positionV relativeFrom="paragraph">
              <wp:posOffset>88265</wp:posOffset>
            </wp:positionV>
            <wp:extent cx="1336583" cy="16764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8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41" cy="168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E3293" w:rsidRPr="00BA3E1D">
        <w:rPr>
          <w:rFonts w:cstheme="minorHAnsi"/>
          <w:b/>
          <w:sz w:val="24"/>
          <w:szCs w:val="24"/>
        </w:rPr>
        <w:t>Características técnicas principais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proofErr w:type="gramStart"/>
      <w:r w:rsidRPr="00BA3E1D">
        <w:rPr>
          <w:rFonts w:cstheme="minorHAnsi"/>
          <w:color w:val="595959" w:themeColor="text1" w:themeTint="A6"/>
          <w:sz w:val="18"/>
          <w:szCs w:val="18"/>
        </w:rPr>
        <w:t>Fluido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água</w:t>
      </w:r>
      <w:proofErr w:type="gramEnd"/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, água </w:t>
      </w:r>
      <w:proofErr w:type="spellStart"/>
      <w:r w:rsidRPr="00BA3E1D">
        <w:rPr>
          <w:rFonts w:cstheme="minorHAnsi"/>
          <w:color w:val="595959" w:themeColor="text1" w:themeTint="A6"/>
          <w:sz w:val="18"/>
          <w:szCs w:val="18"/>
        </w:rPr>
        <w:t>glicolada</w:t>
      </w:r>
      <w:proofErr w:type="spellEnd"/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Gama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0 a 6 Bar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Pressão máxima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20 Bar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Alimentação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 xml:space="preserve">24VCA/CC, +/- 20% </w:t>
      </w:r>
      <w:proofErr w:type="gramStart"/>
      <w:r w:rsidRPr="00BA3E1D">
        <w:rPr>
          <w:rFonts w:cstheme="minorHAnsi"/>
          <w:color w:val="595959" w:themeColor="text1" w:themeTint="A6"/>
          <w:sz w:val="18"/>
          <w:szCs w:val="18"/>
        </w:rPr>
        <w:t>( I</w:t>
      </w:r>
      <w:proofErr w:type="gramEnd"/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BA3E1D">
        <w:rPr>
          <w:rFonts w:cstheme="minorHAnsi"/>
          <w:color w:val="595959" w:themeColor="text1" w:themeTint="A6"/>
          <w:sz w:val="18"/>
          <w:szCs w:val="18"/>
        </w:rPr>
        <w:t>max</w:t>
      </w:r>
      <w:proofErr w:type="spellEnd"/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: 40 </w:t>
      </w:r>
      <w:proofErr w:type="spellStart"/>
      <w:r w:rsidRPr="00BA3E1D">
        <w:rPr>
          <w:rFonts w:cstheme="minorHAnsi"/>
          <w:color w:val="595959" w:themeColor="text1" w:themeTint="A6"/>
          <w:sz w:val="18"/>
          <w:szCs w:val="18"/>
        </w:rPr>
        <w:t>mA</w:t>
      </w:r>
      <w:proofErr w:type="spellEnd"/>
      <w:r w:rsidRPr="00BA3E1D">
        <w:rPr>
          <w:rFonts w:cstheme="minorHAnsi"/>
          <w:color w:val="595959" w:themeColor="text1" w:themeTint="A6"/>
          <w:sz w:val="18"/>
          <w:szCs w:val="18"/>
        </w:rPr>
        <w:t>)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Sinal de saída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 xml:space="preserve">0-10 VCC 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Característica do sinal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linear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Número de condutores (ligações)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3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Grau de </w:t>
      </w:r>
      <w:proofErr w:type="spellStart"/>
      <w:r w:rsidRPr="00BA3E1D">
        <w:rPr>
          <w:rFonts w:cstheme="minorHAnsi"/>
          <w:color w:val="595959" w:themeColor="text1" w:themeTint="A6"/>
          <w:sz w:val="18"/>
          <w:szCs w:val="18"/>
        </w:rPr>
        <w:t>protecção</w:t>
      </w:r>
      <w:proofErr w:type="spellEnd"/>
      <w:r w:rsidRPr="00BA3E1D">
        <w:rPr>
          <w:rFonts w:cstheme="minorHAnsi"/>
          <w:color w:val="595959" w:themeColor="text1" w:themeTint="A6"/>
          <w:sz w:val="18"/>
          <w:szCs w:val="18"/>
        </w:rPr>
        <w:tab/>
        <w:t>IP65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Conformidade CE (EMC)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de acordo com EN61326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Dimensão / Peso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32 x 60 x 91 mm / 0,45 Kg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Partes em contacto com o fluido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cerâmica e latão</w:t>
      </w:r>
    </w:p>
    <w:p w:rsidR="008E3293" w:rsidRPr="00BA3E1D" w:rsidRDefault="008E3293" w:rsidP="008E3293">
      <w:pPr>
        <w:tabs>
          <w:tab w:val="left" w:leader="dot" w:pos="3686"/>
        </w:tabs>
        <w:spacing w:after="120" w:line="200" w:lineRule="exact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Ligações hidráulicas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  <w:t>roscadas, fêmea, G 1/4 “</w:t>
      </w:r>
    </w:p>
    <w:p w:rsidR="008E3293" w:rsidRDefault="008E3293" w:rsidP="008E3293">
      <w:pPr>
        <w:tabs>
          <w:tab w:val="left" w:pos="9540"/>
        </w:tabs>
        <w:rPr>
          <w:rFonts w:ascii="Arial" w:hAnsi="Arial" w:cs="Arial"/>
          <w:b/>
        </w:rPr>
      </w:pPr>
    </w:p>
    <w:p w:rsidR="008E3293" w:rsidRDefault="008E3293" w:rsidP="008E3293">
      <w:pPr>
        <w:tabs>
          <w:tab w:val="left" w:pos="9540"/>
        </w:tabs>
        <w:spacing w:line="360" w:lineRule="auto"/>
        <w:rPr>
          <w:rFonts w:ascii="Arial" w:hAnsi="Arial" w:cs="Arial"/>
        </w:rPr>
      </w:pPr>
      <w:r w:rsidRPr="00BA3E1D">
        <w:rPr>
          <w:rFonts w:cstheme="minorHAnsi"/>
          <w:b/>
          <w:sz w:val="24"/>
          <w:szCs w:val="24"/>
        </w:rPr>
        <w:t>Montagem</w:t>
      </w:r>
    </w:p>
    <w:p w:rsidR="008E3293" w:rsidRPr="00BA3E1D" w:rsidRDefault="008E3293" w:rsidP="008E3293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O local de montagem deverá ser, à priori, nos pontos indicados nas peças desenhadas, cabendo à entidade fiscalizadora a localização exata tendo em linha de conta o objetivo a atingir. </w:t>
      </w:r>
    </w:p>
    <w:p w:rsidR="008E3293" w:rsidRPr="00BA3E1D" w:rsidRDefault="008E3293" w:rsidP="008E3293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Deverão ser seguidas as instruções de montagem sugeridas pelo fabricante.</w:t>
      </w:r>
    </w:p>
    <w:p w:rsidR="008E3293" w:rsidRPr="007E5189" w:rsidRDefault="008E3293" w:rsidP="008E3293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8E3293" w:rsidRDefault="008E3293" w:rsidP="008E3293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E3293" w:rsidRDefault="008E3293" w:rsidP="008E3293">
      <w:pPr>
        <w:tabs>
          <w:tab w:val="left" w:pos="9540"/>
        </w:tabs>
        <w:spacing w:line="360" w:lineRule="auto"/>
        <w:rPr>
          <w:rFonts w:ascii="Arial" w:hAnsi="Arial" w:cs="Arial"/>
          <w:sz w:val="18"/>
          <w:szCs w:val="18"/>
        </w:rPr>
      </w:pPr>
      <w:r w:rsidRPr="00BA3E1D">
        <w:rPr>
          <w:rFonts w:cstheme="minorHAnsi"/>
          <w:b/>
          <w:sz w:val="24"/>
          <w:szCs w:val="24"/>
        </w:rPr>
        <w:lastRenderedPageBreak/>
        <w:t xml:space="preserve">Cabos de ligação </w:t>
      </w:r>
    </w:p>
    <w:p w:rsidR="008E3293" w:rsidRPr="00BA3E1D" w:rsidRDefault="008E3293" w:rsidP="008E3293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BA3E1D">
        <w:rPr>
          <w:rFonts w:cstheme="minorHAnsi"/>
          <w:color w:val="595959" w:themeColor="text1" w:themeTint="A6"/>
          <w:sz w:val="18"/>
          <w:szCs w:val="18"/>
        </w:rPr>
        <w:t>É de vital importância o tipo de cabo a usar nas ligações destes sensores aos respetivos controladores e a sua instalação:</w:t>
      </w:r>
    </w:p>
    <w:p w:rsidR="008E3293" w:rsidRPr="00BA3E1D" w:rsidRDefault="008E3293" w:rsidP="008E3293">
      <w:pPr>
        <w:spacing w:after="120" w:line="360" w:lineRule="auto"/>
        <w:rPr>
          <w:rFonts w:cstheme="minorHAnsi"/>
          <w:color w:val="595959" w:themeColor="text1" w:themeTint="A6"/>
          <w:sz w:val="18"/>
          <w:szCs w:val="18"/>
        </w:rPr>
      </w:pPr>
      <w:r w:rsidRPr="008E3293">
        <w:rPr>
          <w:rFonts w:cstheme="minorHAnsi"/>
          <w:b/>
          <w:color w:val="595959" w:themeColor="text1" w:themeTint="A6"/>
          <w:sz w:val="18"/>
          <w:szCs w:val="18"/>
        </w:rPr>
        <w:t>Tipo de cabo</w:t>
      </w:r>
      <w:r>
        <w:rPr>
          <w:rFonts w:cstheme="minorHAnsi"/>
          <w:color w:val="595959" w:themeColor="text1" w:themeTint="A6"/>
          <w:sz w:val="18"/>
          <w:szCs w:val="18"/>
        </w:rPr>
        <w:br/>
      </w: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>
        <w:rPr>
          <w:rFonts w:cstheme="minorHAnsi"/>
          <w:color w:val="595959" w:themeColor="text1" w:themeTint="A6"/>
          <w:sz w:val="18"/>
          <w:szCs w:val="18"/>
        </w:rPr>
        <w:t xml:space="preserve">- </w:t>
      </w:r>
      <w:proofErr w:type="spellStart"/>
      <w:r w:rsidRPr="00BA3E1D">
        <w:rPr>
          <w:rFonts w:cstheme="minorHAnsi"/>
          <w:color w:val="595959" w:themeColor="text1" w:themeTint="A6"/>
          <w:sz w:val="18"/>
          <w:szCs w:val="18"/>
        </w:rPr>
        <w:t>LiHCH</w:t>
      </w:r>
      <w:proofErr w:type="spellEnd"/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 ou equivalente (sem halogéneos)</w:t>
      </w:r>
      <w:r>
        <w:rPr>
          <w:rFonts w:cstheme="minorHAnsi"/>
          <w:color w:val="595959" w:themeColor="text1" w:themeTint="A6"/>
          <w:sz w:val="18"/>
          <w:szCs w:val="18"/>
        </w:rPr>
        <w:br/>
      </w:r>
      <w:r w:rsidRPr="00BA3E1D">
        <w:rPr>
          <w:rFonts w:cstheme="minorHAnsi"/>
          <w:color w:val="595959" w:themeColor="text1" w:themeTint="A6"/>
          <w:sz w:val="18"/>
          <w:szCs w:val="18"/>
        </w:rPr>
        <w:t>- Número de condutores: 3 (mínimo. Ø0,5 mm2; comprimento máximo 100 m)</w:t>
      </w:r>
    </w:p>
    <w:p w:rsidR="008E3293" w:rsidRPr="00BA3E1D" w:rsidRDefault="008E3293" w:rsidP="008E3293">
      <w:pPr>
        <w:spacing w:after="120" w:line="360" w:lineRule="auto"/>
        <w:rPr>
          <w:rFonts w:cstheme="minorHAnsi"/>
          <w:color w:val="595959" w:themeColor="text1" w:themeTint="A6"/>
          <w:sz w:val="18"/>
          <w:szCs w:val="18"/>
        </w:rPr>
      </w:pPr>
      <w:r w:rsidRPr="008E3293">
        <w:rPr>
          <w:rFonts w:cstheme="minorHAnsi"/>
          <w:b/>
          <w:color w:val="595959" w:themeColor="text1" w:themeTint="A6"/>
          <w:sz w:val="18"/>
          <w:szCs w:val="18"/>
        </w:rPr>
        <w:t>Instalação</w:t>
      </w: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BA3E1D">
        <w:rPr>
          <w:rFonts w:cstheme="minorHAnsi"/>
          <w:color w:val="595959" w:themeColor="text1" w:themeTint="A6"/>
          <w:sz w:val="18"/>
          <w:szCs w:val="18"/>
        </w:rPr>
        <w:tab/>
      </w:r>
      <w:r>
        <w:rPr>
          <w:rFonts w:cstheme="minorHAnsi"/>
          <w:color w:val="595959" w:themeColor="text1" w:themeTint="A6"/>
          <w:sz w:val="18"/>
          <w:szCs w:val="18"/>
        </w:rPr>
        <w:br/>
      </w:r>
      <w:r w:rsidRPr="00BA3E1D">
        <w:rPr>
          <w:rFonts w:cstheme="minorHAnsi"/>
          <w:color w:val="595959" w:themeColor="text1" w:themeTint="A6"/>
          <w:sz w:val="18"/>
          <w:szCs w:val="18"/>
        </w:rPr>
        <w:t>- Isoladamente, em canalização própria, ou em esteiras de “correntes fracas” – nunca em esteiras</w:t>
      </w:r>
      <w:r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  ou tubagens onde passem cabos</w:t>
      </w:r>
      <w:r>
        <w:rPr>
          <w:rFonts w:cstheme="minorHAnsi"/>
          <w:color w:val="595959" w:themeColor="text1" w:themeTint="A6"/>
          <w:sz w:val="18"/>
          <w:szCs w:val="18"/>
        </w:rPr>
        <w:br/>
        <w:t xml:space="preserve"> </w:t>
      </w:r>
      <w:r w:rsidRPr="00BA3E1D">
        <w:rPr>
          <w:rFonts w:cstheme="minorHAnsi"/>
          <w:color w:val="595959" w:themeColor="text1" w:themeTint="A6"/>
          <w:sz w:val="18"/>
          <w:szCs w:val="18"/>
        </w:rPr>
        <w:t xml:space="preserve"> de potência.</w:t>
      </w:r>
    </w:p>
    <w:p w:rsidR="008E3293" w:rsidRDefault="008E3293" w:rsidP="008E3293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8E3293" w:rsidRPr="008E3293" w:rsidRDefault="008E3293" w:rsidP="008E3293">
      <w:pPr>
        <w:tabs>
          <w:tab w:val="left" w:leader="dot" w:pos="3686"/>
        </w:tabs>
        <w:spacing w:line="276" w:lineRule="auto"/>
        <w:rPr>
          <w:rFonts w:cstheme="minorHAnsi"/>
          <w:b/>
          <w:color w:val="7F7F7F" w:themeColor="text1" w:themeTint="80"/>
          <w:sz w:val="18"/>
          <w:szCs w:val="18"/>
        </w:rPr>
      </w:pPr>
      <w:r w:rsidRPr="008E3293">
        <w:rPr>
          <w:rFonts w:cstheme="minorHAnsi"/>
          <w:b/>
          <w:color w:val="7F7F7F" w:themeColor="text1" w:themeTint="80"/>
          <w:sz w:val="18"/>
          <w:szCs w:val="18"/>
        </w:rPr>
        <w:t>Marca de referência</w:t>
      </w:r>
      <w:r w:rsidRPr="008E3293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proofErr w:type="spellStart"/>
      <w:r w:rsidRPr="008E3293">
        <w:rPr>
          <w:rFonts w:cstheme="minorHAnsi"/>
          <w:b/>
          <w:color w:val="7F7F7F" w:themeColor="text1" w:themeTint="80"/>
          <w:sz w:val="18"/>
          <w:szCs w:val="18"/>
        </w:rPr>
        <w:t>Beck</w:t>
      </w:r>
      <w:proofErr w:type="spellEnd"/>
    </w:p>
    <w:p w:rsidR="008E3293" w:rsidRPr="008E3293" w:rsidRDefault="008E3293" w:rsidP="008E3293">
      <w:pPr>
        <w:tabs>
          <w:tab w:val="left" w:leader="dot" w:pos="3686"/>
        </w:tabs>
        <w:spacing w:line="276" w:lineRule="auto"/>
        <w:rPr>
          <w:rFonts w:cstheme="minorHAnsi"/>
          <w:b/>
          <w:color w:val="7F7F7F" w:themeColor="text1" w:themeTint="80"/>
          <w:sz w:val="18"/>
          <w:szCs w:val="18"/>
        </w:rPr>
      </w:pPr>
      <w:r w:rsidRPr="008E3293">
        <w:rPr>
          <w:rFonts w:cstheme="minorHAnsi"/>
          <w:b/>
          <w:color w:val="7F7F7F" w:themeColor="text1" w:themeTint="80"/>
          <w:sz w:val="18"/>
          <w:szCs w:val="18"/>
        </w:rPr>
        <w:t>Distribuidor</w:t>
      </w:r>
      <w:r w:rsidRPr="008E3293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proofErr w:type="spellStart"/>
      <w:r w:rsidRPr="008E3293">
        <w:rPr>
          <w:rFonts w:cstheme="minorHAnsi"/>
          <w:b/>
          <w:color w:val="7F7F7F" w:themeColor="text1" w:themeTint="80"/>
          <w:sz w:val="18"/>
          <w:szCs w:val="18"/>
        </w:rPr>
        <w:t>Contimetra</w:t>
      </w:r>
      <w:proofErr w:type="spellEnd"/>
      <w:r w:rsidRPr="008E3293">
        <w:rPr>
          <w:rFonts w:cstheme="minorHAnsi"/>
          <w:b/>
          <w:color w:val="7F7F7F" w:themeColor="text1" w:themeTint="80"/>
          <w:sz w:val="18"/>
          <w:szCs w:val="18"/>
        </w:rPr>
        <w:t xml:space="preserve"> / </w:t>
      </w:r>
      <w:proofErr w:type="spellStart"/>
      <w:r w:rsidRPr="008E3293">
        <w:rPr>
          <w:rFonts w:cstheme="minorHAnsi"/>
          <w:b/>
          <w:color w:val="7F7F7F" w:themeColor="text1" w:themeTint="80"/>
          <w:sz w:val="18"/>
          <w:szCs w:val="18"/>
        </w:rPr>
        <w:t>Sistimetra</w:t>
      </w:r>
      <w:proofErr w:type="spellEnd"/>
    </w:p>
    <w:p w:rsidR="008E3293" w:rsidRPr="008E3293" w:rsidRDefault="008E3293" w:rsidP="008E3293">
      <w:pPr>
        <w:tabs>
          <w:tab w:val="left" w:leader="dot" w:pos="3686"/>
        </w:tabs>
        <w:spacing w:line="276" w:lineRule="auto"/>
        <w:rPr>
          <w:rFonts w:cstheme="minorHAnsi"/>
          <w:color w:val="7F7F7F" w:themeColor="text1" w:themeTint="80"/>
          <w:u w:val="single"/>
        </w:rPr>
      </w:pPr>
      <w:r w:rsidRPr="008E3293">
        <w:rPr>
          <w:rFonts w:cstheme="minorHAnsi"/>
          <w:b/>
          <w:color w:val="7F7F7F" w:themeColor="text1" w:themeTint="80"/>
          <w:sz w:val="18"/>
          <w:szCs w:val="18"/>
        </w:rPr>
        <w:t>Modelo</w:t>
      </w:r>
      <w:r w:rsidRPr="008E3293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r w:rsidRPr="008E3293">
        <w:rPr>
          <w:rFonts w:cstheme="minorHAnsi"/>
          <w:b/>
          <w:color w:val="7F7F7F" w:themeColor="text1" w:themeTint="80"/>
          <w:sz w:val="18"/>
          <w:szCs w:val="18"/>
        </w:rPr>
        <w:t>988.211A1x</w:t>
      </w: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DE10F4" w:rsidRPr="00350C11" w:rsidRDefault="00B73304" w:rsidP="00113ED9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350C11">
        <w:rPr>
          <w:rFonts w:cstheme="minorHAnsi"/>
          <w:sz w:val="12"/>
          <w:szCs w:val="12"/>
        </w:rPr>
        <w:t>/</w:t>
      </w:r>
      <w:r w:rsidR="008E3293">
        <w:rPr>
          <w:rFonts w:cstheme="minorHAnsi"/>
          <w:sz w:val="12"/>
          <w:szCs w:val="12"/>
        </w:rPr>
        <w:t>sensores</w:t>
      </w:r>
      <w:r w:rsidR="000D0A78" w:rsidRPr="00350C11">
        <w:rPr>
          <w:rFonts w:cstheme="minorHAnsi"/>
          <w:sz w:val="12"/>
          <w:szCs w:val="12"/>
        </w:rPr>
        <w:t>/</w:t>
      </w:r>
      <w:r w:rsidR="00202476">
        <w:rPr>
          <w:rFonts w:cstheme="minorHAnsi"/>
          <w:sz w:val="12"/>
          <w:szCs w:val="12"/>
        </w:rPr>
        <w:t>9</w:t>
      </w:r>
      <w:r w:rsidR="008E3293">
        <w:rPr>
          <w:rFonts w:cstheme="minorHAnsi"/>
          <w:sz w:val="12"/>
          <w:szCs w:val="12"/>
        </w:rPr>
        <w:t>8</w:t>
      </w:r>
      <w:r w:rsidR="00202476">
        <w:rPr>
          <w:rFonts w:cstheme="minorHAnsi"/>
          <w:sz w:val="12"/>
          <w:szCs w:val="12"/>
        </w:rPr>
        <w:t>8.docx</w:t>
      </w:r>
    </w:p>
    <w:sectPr w:rsidR="00DE10F4" w:rsidRPr="00350C11" w:rsidSect="00202E34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D2F88"/>
    <w:rsid w:val="000E36CE"/>
    <w:rsid w:val="00113ED9"/>
    <w:rsid w:val="00114D17"/>
    <w:rsid w:val="001250CD"/>
    <w:rsid w:val="0014736B"/>
    <w:rsid w:val="001617C2"/>
    <w:rsid w:val="001A65EF"/>
    <w:rsid w:val="001E7997"/>
    <w:rsid w:val="001F3A1D"/>
    <w:rsid w:val="00202476"/>
    <w:rsid w:val="00202E34"/>
    <w:rsid w:val="00221CF1"/>
    <w:rsid w:val="0024231E"/>
    <w:rsid w:val="00265F26"/>
    <w:rsid w:val="0027342B"/>
    <w:rsid w:val="00290D09"/>
    <w:rsid w:val="002D06D7"/>
    <w:rsid w:val="002F1DD3"/>
    <w:rsid w:val="002F6E06"/>
    <w:rsid w:val="00306B3A"/>
    <w:rsid w:val="00350C11"/>
    <w:rsid w:val="0035775F"/>
    <w:rsid w:val="00393498"/>
    <w:rsid w:val="003A480F"/>
    <w:rsid w:val="003C7D09"/>
    <w:rsid w:val="003F1FB7"/>
    <w:rsid w:val="004632C0"/>
    <w:rsid w:val="00480D0A"/>
    <w:rsid w:val="004B7FB0"/>
    <w:rsid w:val="004E11B1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E3293"/>
    <w:rsid w:val="008F2FCA"/>
    <w:rsid w:val="0099670E"/>
    <w:rsid w:val="009C3571"/>
    <w:rsid w:val="009E4A8E"/>
    <w:rsid w:val="00A078D6"/>
    <w:rsid w:val="00A9287D"/>
    <w:rsid w:val="00AE6201"/>
    <w:rsid w:val="00B03528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F77AB"/>
    <w:rsid w:val="00D03C0C"/>
    <w:rsid w:val="00D32211"/>
    <w:rsid w:val="00D46A48"/>
    <w:rsid w:val="00D85DF1"/>
    <w:rsid w:val="00D918BE"/>
    <w:rsid w:val="00DC18E0"/>
    <w:rsid w:val="00DD4426"/>
    <w:rsid w:val="00E04C33"/>
    <w:rsid w:val="00EB414E"/>
    <w:rsid w:val="00EE1D5E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BA94B2F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E18F-037A-4592-BB4C-A52C07AD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2022-12-19T14:56:00Z</dcterms:created>
  <dcterms:modified xsi:type="dcterms:W3CDTF">2022-12-19T15:05:00Z</dcterms:modified>
</cp:coreProperties>
</file>